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Диагностическая карта анализа уровня развития профессиональной компетентности педагогов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Инструкция.</w:t>
      </w:r>
      <w:r>
        <w:rPr>
          <w:rFonts w:hAnsi="Times New Roman" w:cs="Times New Roman"/>
          <w:color w:val="000000"/>
          <w:sz w:val="24"/>
          <w:szCs w:val="24"/>
        </w:rPr>
        <w:t xml:space="preserve"> Поставьте в графу «Оценка» балл, который соответствует уровню развития компонента каждой компетенции. Оптимальный уровень – 2 балла, достаточный уровень – 1 балл, критический уровень – 0 баллов.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Предметно-методологическая компетенция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ФГОС к предметному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форм и методов работы для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ИКТ-компетентность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 учебного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и формирование УУД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Психолого-педагогическая компетенция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 развитие познавательной сферы ученика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 поддержка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Валеологическая компетенция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здоровьесберегающей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обучения детей с ОВЗ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Коммуникативная компетенция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учениками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Управленческая компетенция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качеством процессов и результатов в системе «учитель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качеством трансляции собственного опыта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качеством разработки и внедрения педагогических инноваций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профессиональным ростом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участием в работе коллектива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85062fe916d47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